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67A1" w14:textId="77777777" w:rsidR="009B0AF8" w:rsidRPr="00BC446B" w:rsidRDefault="009B0AF8" w:rsidP="0044783A">
      <w:pPr>
        <w:shd w:val="clear" w:color="auto" w:fill="FFFFFF" w:themeFill="background1"/>
        <w:rPr>
          <w:rFonts w:cstheme="minorHAnsi"/>
        </w:rPr>
      </w:pPr>
      <w:r w:rsidRPr="00BC446B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5F242D7" wp14:editId="7CD1815A">
            <wp:simplePos x="0" y="0"/>
            <wp:positionH relativeFrom="column">
              <wp:posOffset>-581025</wp:posOffset>
            </wp:positionH>
            <wp:positionV relativeFrom="paragraph">
              <wp:posOffset>-457200</wp:posOffset>
            </wp:positionV>
            <wp:extent cx="2638425" cy="698500"/>
            <wp:effectExtent l="0" t="0" r="9525" b="635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4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139C" wp14:editId="0C5C5388">
                <wp:simplePos x="0" y="0"/>
                <wp:positionH relativeFrom="margin">
                  <wp:posOffset>-1524000</wp:posOffset>
                </wp:positionH>
                <wp:positionV relativeFrom="paragraph">
                  <wp:posOffset>-904875</wp:posOffset>
                </wp:positionV>
                <wp:extent cx="108966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51DF" id="Rectangle 3" o:spid="_x0000_s1026" alt="&quot;&quot;" style="position:absolute;margin-left:-120pt;margin-top:-71.25pt;width:85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" fillcolor="#1477bd" stroked="f" strokeweight="1pt">
                <w10:wrap anchorx="margin"/>
              </v:rect>
            </w:pict>
          </mc:Fallback>
        </mc:AlternateContent>
      </w:r>
    </w:p>
    <w:p w14:paraId="6D51451B" w14:textId="77777777" w:rsidR="009B0AF8" w:rsidRPr="00BC446B" w:rsidRDefault="009B0AF8" w:rsidP="0044783A">
      <w:pPr>
        <w:shd w:val="clear" w:color="auto" w:fill="FFFFFF" w:themeFill="background1"/>
        <w:rPr>
          <w:rFonts w:cstheme="minorHAnsi"/>
        </w:rPr>
      </w:pPr>
    </w:p>
    <w:p w14:paraId="2F37A9E1" w14:textId="76D74B8D" w:rsidR="0044783A" w:rsidRPr="00BC446B" w:rsidRDefault="0044783A" w:rsidP="0044783A">
      <w:pPr>
        <w:shd w:val="clear" w:color="auto" w:fill="FFFFFF" w:themeFill="background1"/>
        <w:jc w:val="center"/>
        <w:rPr>
          <w:rFonts w:cstheme="minorHAnsi"/>
          <w:b/>
        </w:rPr>
      </w:pPr>
      <w:r w:rsidRPr="00BC446B">
        <w:rPr>
          <w:rFonts w:cstheme="minorHAnsi"/>
          <w:b/>
        </w:rPr>
        <w:t>Audit of Inclusive Practice for Registered Early Years &amp; Childcare Settings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B36730" w:rsidRPr="00BC446B" w14:paraId="2DB720AC" w14:textId="77777777" w:rsidTr="00823271">
        <w:tc>
          <w:tcPr>
            <w:tcW w:w="9895" w:type="dxa"/>
          </w:tcPr>
          <w:p w14:paraId="2C808B20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5A66097D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Name of setting:</w:t>
            </w:r>
          </w:p>
          <w:p w14:paraId="1786E976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BC446B" w14:paraId="2E121043" w14:textId="77777777" w:rsidTr="00823271">
        <w:tc>
          <w:tcPr>
            <w:tcW w:w="9895" w:type="dxa"/>
          </w:tcPr>
          <w:p w14:paraId="656D20ED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26951803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Ofsted registration number:</w:t>
            </w:r>
          </w:p>
          <w:p w14:paraId="40C704DB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BC446B" w14:paraId="7C980A6E" w14:textId="77777777" w:rsidTr="00823271">
        <w:tc>
          <w:tcPr>
            <w:tcW w:w="9895" w:type="dxa"/>
          </w:tcPr>
          <w:p w14:paraId="0606B7DB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4AC7F40C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Name/s of person/s completing the form and post held:</w:t>
            </w:r>
          </w:p>
          <w:p w14:paraId="73EA3FA1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BC446B" w14:paraId="2EACDA60" w14:textId="77777777" w:rsidTr="00823271">
        <w:tc>
          <w:tcPr>
            <w:tcW w:w="9895" w:type="dxa"/>
          </w:tcPr>
          <w:p w14:paraId="6FD52368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5EBC39F3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Context:</w:t>
            </w:r>
          </w:p>
          <w:p w14:paraId="76081224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BC446B" w14:paraId="637EE887" w14:textId="77777777" w:rsidTr="00823271">
        <w:tc>
          <w:tcPr>
            <w:tcW w:w="9895" w:type="dxa"/>
          </w:tcPr>
          <w:p w14:paraId="384272E9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683F2CE8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Date of completion:</w:t>
            </w:r>
          </w:p>
          <w:p w14:paraId="5AAABF6F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BC446B" w14:paraId="0D7B8F1D" w14:textId="77777777" w:rsidTr="00823271">
        <w:tc>
          <w:tcPr>
            <w:tcW w:w="9895" w:type="dxa"/>
          </w:tcPr>
          <w:p w14:paraId="16AB6FC4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49EB7B2F" w14:textId="7A7CC6A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Room/s audited:</w:t>
            </w:r>
          </w:p>
          <w:p w14:paraId="69E190C4" w14:textId="77777777" w:rsidR="00B36730" w:rsidRPr="00BC446B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C7A54BD" w14:textId="3C119B85" w:rsidR="00B36730" w:rsidRPr="00BC446B" w:rsidRDefault="00B36730" w:rsidP="0044783A">
      <w:pPr>
        <w:shd w:val="clear" w:color="auto" w:fill="FFFFFF" w:themeFill="background1"/>
        <w:jc w:val="center"/>
        <w:rPr>
          <w:rFonts w:cstheme="minorHAnsi"/>
          <w:b/>
        </w:rPr>
      </w:pP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4989"/>
        <w:gridCol w:w="4934"/>
      </w:tblGrid>
      <w:tr w:rsidR="00B36730" w:rsidRPr="00BC446B" w14:paraId="201ED749" w14:textId="77777777" w:rsidTr="00520B5E">
        <w:trPr>
          <w:trHeight w:val="365"/>
        </w:trPr>
        <w:tc>
          <w:tcPr>
            <w:tcW w:w="4987" w:type="dxa"/>
          </w:tcPr>
          <w:p w14:paraId="2E2AD051" w14:textId="77777777" w:rsidR="00520B5E" w:rsidRPr="00BC446B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Supervision and Ratio’s</w:t>
            </w:r>
          </w:p>
          <w:p w14:paraId="6A35F37A" w14:textId="1C1D614F" w:rsidR="00520B5E" w:rsidRPr="00BC446B" w:rsidRDefault="00520B5E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32CA90B9" w14:textId="77777777" w:rsidR="00B36730" w:rsidRPr="00BC446B" w:rsidRDefault="00B36730" w:rsidP="0044783A">
            <w:pPr>
              <w:shd w:val="clear" w:color="auto" w:fill="FFFFFF" w:themeFill="background1"/>
              <w:jc w:val="both"/>
              <w:rPr>
                <w:rFonts w:cstheme="minorHAnsi"/>
                <w:lang w:val="en-GB"/>
              </w:rPr>
            </w:pPr>
          </w:p>
        </w:tc>
      </w:tr>
      <w:tr w:rsidR="00B36730" w:rsidRPr="00BC446B" w14:paraId="1849BCC8" w14:textId="77777777" w:rsidTr="00520B5E">
        <w:trPr>
          <w:trHeight w:val="365"/>
        </w:trPr>
        <w:tc>
          <w:tcPr>
            <w:tcW w:w="4987" w:type="dxa"/>
          </w:tcPr>
          <w:p w14:paraId="494915B6" w14:textId="6194CB68" w:rsidR="00B36730" w:rsidRPr="00BC446B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Supervision of children with additional needs is based on the child’s specific support and provision needs.  </w:t>
            </w:r>
          </w:p>
        </w:tc>
        <w:tc>
          <w:tcPr>
            <w:tcW w:w="4936" w:type="dxa"/>
          </w:tcPr>
          <w:p w14:paraId="13D2C7DA" w14:textId="77777777" w:rsidR="00B36730" w:rsidRPr="00BC446B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B36730" w:rsidRPr="00BC446B" w14:paraId="0EECFE62" w14:textId="77777777" w:rsidTr="00520B5E">
        <w:trPr>
          <w:trHeight w:val="365"/>
        </w:trPr>
        <w:tc>
          <w:tcPr>
            <w:tcW w:w="4987" w:type="dxa"/>
          </w:tcPr>
          <w:p w14:paraId="0DF3CFAB" w14:textId="244C525D" w:rsidR="00B36730" w:rsidRPr="00BC446B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The adult to child ratio is above the statutory requirement, and all children who require closer supervision have support in place, at the times when they need it.</w:t>
            </w:r>
          </w:p>
        </w:tc>
        <w:tc>
          <w:tcPr>
            <w:tcW w:w="4936" w:type="dxa"/>
          </w:tcPr>
          <w:p w14:paraId="5D728F36" w14:textId="77777777" w:rsidR="00B36730" w:rsidRPr="00BC446B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44783A" w:rsidRPr="00BC446B" w14:paraId="5A8B76BF" w14:textId="77777777" w:rsidTr="00520B5E">
        <w:trPr>
          <w:trHeight w:val="921"/>
        </w:trPr>
        <w:tc>
          <w:tcPr>
            <w:tcW w:w="4987" w:type="dxa"/>
          </w:tcPr>
          <w:p w14:paraId="22C0B2D0" w14:textId="6B78D10D" w:rsidR="0044783A" w:rsidRPr="00BC446B" w:rsidRDefault="0044783A" w:rsidP="00B36730">
            <w:pPr>
              <w:shd w:val="clear" w:color="auto" w:fill="FFFFFF" w:themeFill="background1"/>
              <w:jc w:val="both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staff know when the child/ren should be given additional support to engage in activities, and when to allow the child/ren to develop their independence.</w:t>
            </w:r>
          </w:p>
        </w:tc>
        <w:tc>
          <w:tcPr>
            <w:tcW w:w="4936" w:type="dxa"/>
          </w:tcPr>
          <w:p w14:paraId="55989B52" w14:textId="77777777" w:rsidR="0044783A" w:rsidRPr="00BC446B" w:rsidRDefault="0044783A" w:rsidP="0044783A">
            <w:pPr>
              <w:shd w:val="clear" w:color="auto" w:fill="FFFFFF" w:themeFill="background1"/>
              <w:jc w:val="both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B36730" w:rsidRPr="00BC446B" w14:paraId="6E8040BA" w14:textId="77777777" w:rsidTr="00520B5E">
        <w:tc>
          <w:tcPr>
            <w:tcW w:w="4987" w:type="dxa"/>
          </w:tcPr>
          <w:p w14:paraId="33E02713" w14:textId="5525E0ED" w:rsidR="00B36730" w:rsidRPr="00BC446B" w:rsidRDefault="00B36730" w:rsidP="00B36730">
            <w:pPr>
              <w:shd w:val="clear" w:color="auto" w:fill="FFFFFF" w:themeFill="background1"/>
              <w:tabs>
                <w:tab w:val="left" w:pos="3568"/>
              </w:tabs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Individualised support</w:t>
            </w:r>
          </w:p>
          <w:p w14:paraId="0C423E94" w14:textId="57B0C771" w:rsidR="00520B5E" w:rsidRPr="00BC446B" w:rsidRDefault="00520B5E" w:rsidP="00B36730">
            <w:pPr>
              <w:shd w:val="clear" w:color="auto" w:fill="FFFFFF" w:themeFill="background1"/>
              <w:tabs>
                <w:tab w:val="left" w:pos="3568"/>
              </w:tabs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64676AFC" w14:textId="77777777" w:rsidR="00B36730" w:rsidRPr="00BC446B" w:rsidRDefault="00B36730" w:rsidP="0044783A">
            <w:pPr>
              <w:shd w:val="clear" w:color="auto" w:fill="FFFFFF" w:themeFill="background1"/>
              <w:jc w:val="both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7109AFE8" w14:textId="77777777" w:rsidTr="00520B5E">
        <w:tc>
          <w:tcPr>
            <w:tcW w:w="4987" w:type="dxa"/>
          </w:tcPr>
          <w:p w14:paraId="488C7BE6" w14:textId="18483967" w:rsidR="00B36730" w:rsidRPr="00BC446B" w:rsidRDefault="0044783A" w:rsidP="00B36730">
            <w:pPr>
              <w:shd w:val="clear" w:color="auto" w:fill="FFFFFF" w:themeFill="background1"/>
              <w:tabs>
                <w:tab w:val="left" w:pos="3568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child/ren who require additional support take part in planned activities that focus on their specific area of development – utilising targets from specialist agencies.  This can be in groups, where activities have been planned with positive</w:t>
            </w:r>
            <w:r w:rsidR="00BA1AB7" w:rsidRPr="00BC446B">
              <w:rPr>
                <w:rFonts w:cstheme="minorHAnsi"/>
                <w:sz w:val="22"/>
                <w:szCs w:val="22"/>
                <w:lang w:val="en-GB"/>
              </w:rPr>
              <w:t xml:space="preserve"> peer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group models in place, or on an individual basis</w:t>
            </w:r>
            <w:r w:rsidR="00B36730" w:rsidRPr="00BC446B">
              <w:rPr>
                <w:rFonts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4936" w:type="dxa"/>
          </w:tcPr>
          <w:p w14:paraId="5079F06F" w14:textId="77777777" w:rsidR="0044783A" w:rsidRPr="00BC446B" w:rsidRDefault="0044783A" w:rsidP="0044783A">
            <w:pPr>
              <w:shd w:val="clear" w:color="auto" w:fill="FFFFFF" w:themeFill="background1"/>
              <w:jc w:val="both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69F8B48B" w14:textId="77777777" w:rsidTr="00520B5E">
        <w:tc>
          <w:tcPr>
            <w:tcW w:w="4987" w:type="dxa"/>
          </w:tcPr>
          <w:p w14:paraId="10F962E7" w14:textId="3B868B3E" w:rsidR="00B36730" w:rsidRPr="00BC446B" w:rsidRDefault="00B36730" w:rsidP="00B36730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Key worker interactions</w:t>
            </w:r>
          </w:p>
          <w:p w14:paraId="652F3ADE" w14:textId="3947C265" w:rsidR="00520B5E" w:rsidRPr="00BC446B" w:rsidRDefault="00520B5E" w:rsidP="00B36730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5FF2356E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</w:tr>
      <w:tr w:rsidR="0044783A" w:rsidRPr="00BC446B" w14:paraId="70444135" w14:textId="77777777" w:rsidTr="00520B5E">
        <w:tc>
          <w:tcPr>
            <w:tcW w:w="4987" w:type="dxa"/>
          </w:tcPr>
          <w:p w14:paraId="1D641290" w14:textId="6139FA5A" w:rsidR="0044783A" w:rsidRPr="00BC446B" w:rsidRDefault="0044783A" w:rsidP="00B36730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Key Person has established a very positive relationship with the child/ren.  They have a high awareness of their needs and interact with and support the child/ren when required, whilst also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lastRenderedPageBreak/>
              <w:t xml:space="preserve">allowing the child to gain independence through child led play and free play.  </w:t>
            </w:r>
          </w:p>
        </w:tc>
        <w:tc>
          <w:tcPr>
            <w:tcW w:w="4936" w:type="dxa"/>
          </w:tcPr>
          <w:p w14:paraId="2328D370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B36730" w:rsidRPr="00BC446B" w14:paraId="689073A5" w14:textId="77777777" w:rsidTr="00520B5E">
        <w:tc>
          <w:tcPr>
            <w:tcW w:w="4987" w:type="dxa"/>
          </w:tcPr>
          <w:p w14:paraId="119CA64E" w14:textId="09D96E6C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bCs/>
                <w:sz w:val="22"/>
                <w:szCs w:val="22"/>
                <w:lang w:val="en-GB"/>
              </w:rPr>
              <w:t>Child’s interactions with</w:t>
            </w:r>
            <w:r w:rsidR="00BA1AB7" w:rsidRPr="00BC446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friendship</w:t>
            </w:r>
            <w:r w:rsidRPr="00BC446B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group</w:t>
            </w:r>
          </w:p>
          <w:p w14:paraId="503871A0" w14:textId="4A53F2F6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206BF486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B36730" w:rsidRPr="00BC446B" w14:paraId="3080888E" w14:textId="77777777" w:rsidTr="00520B5E">
        <w:tc>
          <w:tcPr>
            <w:tcW w:w="4987" w:type="dxa"/>
          </w:tcPr>
          <w:p w14:paraId="77FB54EE" w14:textId="632FA692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Staff work to support children to build positive relationships with their </w:t>
            </w:r>
            <w:r w:rsidR="00BA1AB7" w:rsidRPr="00BC446B">
              <w:rPr>
                <w:rFonts w:cstheme="minorHAnsi"/>
                <w:sz w:val="22"/>
                <w:szCs w:val="22"/>
                <w:lang w:val="en-GB"/>
              </w:rPr>
              <w:t>friendship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group.  They provide positive examples of interactions, and plan activities that foster and encourage the skills in the child/ren.</w:t>
            </w:r>
          </w:p>
          <w:p w14:paraId="1B32FDE3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36" w:type="dxa"/>
          </w:tcPr>
          <w:p w14:paraId="0E42B759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0E006CA8" w14:textId="77777777" w:rsidTr="00A80355">
        <w:trPr>
          <w:trHeight w:val="1201"/>
        </w:trPr>
        <w:tc>
          <w:tcPr>
            <w:tcW w:w="4987" w:type="dxa"/>
          </w:tcPr>
          <w:p w14:paraId="6C92AED8" w14:textId="0C15D05E" w:rsidR="0044783A" w:rsidRPr="00BC446B" w:rsidRDefault="0044783A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Children with delayed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personal, </w:t>
            </w:r>
            <w:r w:rsidR="00BC446B" w:rsidRPr="00BC446B">
              <w:rPr>
                <w:rFonts w:cstheme="minorHAnsi"/>
                <w:sz w:val="22"/>
                <w:szCs w:val="22"/>
                <w:lang w:val="en-GB"/>
              </w:rPr>
              <w:t>social,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 and emotional development (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PSED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)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and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with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potential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social, </w:t>
            </w:r>
            <w:r w:rsidR="00BC446B" w:rsidRPr="00BC446B">
              <w:rPr>
                <w:rFonts w:cstheme="minorHAnsi"/>
                <w:sz w:val="22"/>
                <w:szCs w:val="22"/>
                <w:lang w:val="en-GB"/>
              </w:rPr>
              <w:t>emotional,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 and mental health (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SEMH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) needs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are tracked on Early Support EYFS documents</w:t>
            </w:r>
          </w:p>
        </w:tc>
        <w:tc>
          <w:tcPr>
            <w:tcW w:w="4936" w:type="dxa"/>
          </w:tcPr>
          <w:p w14:paraId="524A7892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26FBC61C" w14:textId="77777777" w:rsidTr="00520B5E">
        <w:tc>
          <w:tcPr>
            <w:tcW w:w="4987" w:type="dxa"/>
          </w:tcPr>
          <w:p w14:paraId="6712610D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bCs/>
                <w:sz w:val="22"/>
                <w:szCs w:val="22"/>
                <w:lang w:val="en-GB"/>
              </w:rPr>
              <w:t>The Learning Environment</w:t>
            </w:r>
          </w:p>
          <w:p w14:paraId="2448767D" w14:textId="41A4B722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0AF653DC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4FDDD31F" w14:textId="77777777" w:rsidTr="00520B5E">
        <w:tc>
          <w:tcPr>
            <w:tcW w:w="4987" w:type="dxa"/>
          </w:tcPr>
          <w:p w14:paraId="26ED67C0" w14:textId="77777777" w:rsidR="0044783A" w:rsidRPr="00BC446B" w:rsidRDefault="0044783A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Adjustments have been made (to the environment, routines, and specialist equipment where appropriate) based on individual children’s needs and advice from specialist agencies.</w:t>
            </w:r>
          </w:p>
        </w:tc>
        <w:tc>
          <w:tcPr>
            <w:tcW w:w="4936" w:type="dxa"/>
          </w:tcPr>
          <w:p w14:paraId="7CB1E652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2F59B0AE" w14:textId="77777777" w:rsidTr="00520B5E">
        <w:trPr>
          <w:trHeight w:val="305"/>
        </w:trPr>
        <w:tc>
          <w:tcPr>
            <w:tcW w:w="4987" w:type="dxa"/>
          </w:tcPr>
          <w:p w14:paraId="642AA874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Partnership with Parents</w:t>
            </w:r>
          </w:p>
          <w:p w14:paraId="5C78DD74" w14:textId="01138039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23D4A20E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B36730" w:rsidRPr="00BC446B" w14:paraId="481BD0A0" w14:textId="77777777" w:rsidTr="00520B5E">
        <w:trPr>
          <w:trHeight w:val="305"/>
        </w:trPr>
        <w:tc>
          <w:tcPr>
            <w:tcW w:w="4987" w:type="dxa"/>
          </w:tcPr>
          <w:p w14:paraId="0B3F6690" w14:textId="3A0CB0EA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relevant staff members liaise regularly with all parents/carers of children with additional needs, and they are partners in their child’s learning.</w:t>
            </w:r>
          </w:p>
        </w:tc>
        <w:tc>
          <w:tcPr>
            <w:tcW w:w="4936" w:type="dxa"/>
          </w:tcPr>
          <w:p w14:paraId="1A4E478E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B36730" w:rsidRPr="00BC446B" w14:paraId="33CE8861" w14:textId="77777777" w:rsidTr="00520B5E">
        <w:trPr>
          <w:trHeight w:val="305"/>
        </w:trPr>
        <w:tc>
          <w:tcPr>
            <w:tcW w:w="4987" w:type="dxa"/>
          </w:tcPr>
          <w:p w14:paraId="50E36BB7" w14:textId="44694200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Communication sheets/diaries / progress and areas of development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 are regularly shared</w:t>
            </w:r>
          </w:p>
        </w:tc>
        <w:tc>
          <w:tcPr>
            <w:tcW w:w="4936" w:type="dxa"/>
          </w:tcPr>
          <w:p w14:paraId="3FA83A3A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B36730" w:rsidRPr="00BC446B" w14:paraId="7045BF67" w14:textId="77777777" w:rsidTr="00520B5E">
        <w:trPr>
          <w:trHeight w:val="305"/>
        </w:trPr>
        <w:tc>
          <w:tcPr>
            <w:tcW w:w="4987" w:type="dxa"/>
          </w:tcPr>
          <w:p w14:paraId="41ACC6A7" w14:textId="1A5C1A10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‘All About Me’ or similar information (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c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hild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p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assport to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p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lay etc.)  is available for all staff and is regularly updated by the parents/carers.</w:t>
            </w:r>
          </w:p>
        </w:tc>
        <w:tc>
          <w:tcPr>
            <w:tcW w:w="4936" w:type="dxa"/>
          </w:tcPr>
          <w:p w14:paraId="1C4DD088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B36730" w:rsidRPr="00BC446B" w14:paraId="60C8B86C" w14:textId="77777777" w:rsidTr="00520B5E">
        <w:trPr>
          <w:trHeight w:val="305"/>
        </w:trPr>
        <w:tc>
          <w:tcPr>
            <w:tcW w:w="4987" w:type="dxa"/>
          </w:tcPr>
          <w:p w14:paraId="7C297C97" w14:textId="5817D858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Parent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s are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actively involved in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 the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graduated response cycle and meetings</w:t>
            </w:r>
          </w:p>
        </w:tc>
        <w:tc>
          <w:tcPr>
            <w:tcW w:w="4936" w:type="dxa"/>
          </w:tcPr>
          <w:p w14:paraId="5E9DA4D0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523C9B98" w14:textId="77777777" w:rsidTr="00520B5E">
        <w:trPr>
          <w:trHeight w:val="950"/>
        </w:trPr>
        <w:tc>
          <w:tcPr>
            <w:tcW w:w="4987" w:type="dxa"/>
          </w:tcPr>
          <w:p w14:paraId="1D45C386" w14:textId="3070CB73" w:rsidR="0044783A" w:rsidRPr="00BC446B" w:rsidRDefault="0044783A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A comprehensive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i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nclusion/SEN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/D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folder/ website information is available for parents/carers to read and/or take home.</w:t>
            </w:r>
          </w:p>
        </w:tc>
        <w:tc>
          <w:tcPr>
            <w:tcW w:w="4936" w:type="dxa"/>
          </w:tcPr>
          <w:p w14:paraId="186ABF61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01A75298" w14:textId="77777777" w:rsidTr="00520B5E">
        <w:tc>
          <w:tcPr>
            <w:tcW w:w="4987" w:type="dxa"/>
          </w:tcPr>
          <w:p w14:paraId="1D179D10" w14:textId="769D7161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Promoting Positive Behavio</w:t>
            </w:r>
            <w:r w:rsidR="00BC446B">
              <w:rPr>
                <w:rFonts w:cstheme="minorHAnsi"/>
                <w:b/>
                <w:sz w:val="22"/>
                <w:szCs w:val="22"/>
                <w:lang w:val="en-GB"/>
              </w:rPr>
              <w:t>u</w:t>
            </w: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r</w:t>
            </w:r>
          </w:p>
          <w:p w14:paraId="47CFA153" w14:textId="4121EBF1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Evidence of the following is in place:</w:t>
            </w:r>
          </w:p>
        </w:tc>
        <w:tc>
          <w:tcPr>
            <w:tcW w:w="4936" w:type="dxa"/>
          </w:tcPr>
          <w:p w14:paraId="036CD801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71CB55E7" w14:textId="77777777" w:rsidTr="00520B5E">
        <w:tc>
          <w:tcPr>
            <w:tcW w:w="4987" w:type="dxa"/>
          </w:tcPr>
          <w:p w14:paraId="4948794F" w14:textId="1C6DDA4D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Promoting positive </w:t>
            </w:r>
            <w:r w:rsidR="00BC446B" w:rsidRPr="00BC446B">
              <w:rPr>
                <w:rFonts w:cstheme="minorHAnsi"/>
                <w:sz w:val="22"/>
                <w:szCs w:val="22"/>
                <w:lang w:val="en-GB"/>
              </w:rPr>
              <w:t>behaviour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policy</w:t>
            </w:r>
          </w:p>
        </w:tc>
        <w:tc>
          <w:tcPr>
            <w:tcW w:w="4936" w:type="dxa"/>
          </w:tcPr>
          <w:p w14:paraId="7C62B51F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0217318A" w14:textId="77777777" w:rsidTr="00520B5E">
        <w:tc>
          <w:tcPr>
            <w:tcW w:w="4987" w:type="dxa"/>
          </w:tcPr>
          <w:p w14:paraId="02F6AAC5" w14:textId="762D2081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Appropriate paperwork (ABC etc.)</w:t>
            </w:r>
          </w:p>
        </w:tc>
        <w:tc>
          <w:tcPr>
            <w:tcW w:w="4936" w:type="dxa"/>
          </w:tcPr>
          <w:p w14:paraId="4C01F4BF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04D91C4B" w14:textId="77777777" w:rsidTr="00520B5E">
        <w:tc>
          <w:tcPr>
            <w:tcW w:w="4987" w:type="dxa"/>
          </w:tcPr>
          <w:p w14:paraId="603D1F7F" w14:textId="2D31A15C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Application of standard positive </w:t>
            </w:r>
            <w:r w:rsidR="00BC446B" w:rsidRPr="00BC446B">
              <w:rPr>
                <w:rFonts w:cstheme="minorHAnsi"/>
                <w:sz w:val="22"/>
                <w:szCs w:val="22"/>
                <w:lang w:val="en-GB"/>
              </w:rPr>
              <w:t>behaviour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strategies observed in setting (positive praise, active ignoring, award charts etc.)</w:t>
            </w:r>
          </w:p>
        </w:tc>
        <w:tc>
          <w:tcPr>
            <w:tcW w:w="4936" w:type="dxa"/>
          </w:tcPr>
          <w:p w14:paraId="23EE37A3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0211C29A" w14:textId="77777777" w:rsidTr="00520B5E">
        <w:tc>
          <w:tcPr>
            <w:tcW w:w="4987" w:type="dxa"/>
          </w:tcPr>
          <w:p w14:paraId="3FE9322D" w14:textId="38F0E796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Parents have been included</w:t>
            </w:r>
          </w:p>
        </w:tc>
        <w:tc>
          <w:tcPr>
            <w:tcW w:w="4936" w:type="dxa"/>
          </w:tcPr>
          <w:p w14:paraId="7036D18B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72DABC67" w14:textId="77777777" w:rsidTr="00520B5E">
        <w:tc>
          <w:tcPr>
            <w:tcW w:w="4987" w:type="dxa"/>
          </w:tcPr>
          <w:p w14:paraId="5163C572" w14:textId="3B846663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Appropriate training has been accessed</w:t>
            </w:r>
          </w:p>
        </w:tc>
        <w:tc>
          <w:tcPr>
            <w:tcW w:w="4936" w:type="dxa"/>
          </w:tcPr>
          <w:p w14:paraId="7B9A8B30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375387AF" w14:textId="77777777" w:rsidTr="00520B5E">
        <w:tc>
          <w:tcPr>
            <w:tcW w:w="4987" w:type="dxa"/>
          </w:tcPr>
          <w:p w14:paraId="44FFCC68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bCs/>
                <w:sz w:val="22"/>
                <w:szCs w:val="22"/>
                <w:lang w:val="en-GB"/>
              </w:rPr>
              <w:t>Policies</w:t>
            </w:r>
          </w:p>
          <w:p w14:paraId="5B88819B" w14:textId="69999BED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1EE0F63F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0075DBE1" w14:textId="77777777" w:rsidTr="00520B5E">
        <w:tc>
          <w:tcPr>
            <w:tcW w:w="4987" w:type="dxa"/>
          </w:tcPr>
          <w:p w14:paraId="5D2DF565" w14:textId="2FEB80F4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SEN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/D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Policies are in place and reviewed regularly </w:t>
            </w:r>
          </w:p>
        </w:tc>
        <w:tc>
          <w:tcPr>
            <w:tcW w:w="4936" w:type="dxa"/>
          </w:tcPr>
          <w:p w14:paraId="472C1030" w14:textId="77777777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0A4237E2" w14:textId="77777777" w:rsidTr="00520B5E">
        <w:tc>
          <w:tcPr>
            <w:tcW w:w="4987" w:type="dxa"/>
          </w:tcPr>
          <w:p w14:paraId="275AFF6A" w14:textId="3C1BC42B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Policies are easily available to parents</w:t>
            </w:r>
          </w:p>
        </w:tc>
        <w:tc>
          <w:tcPr>
            <w:tcW w:w="4936" w:type="dxa"/>
          </w:tcPr>
          <w:p w14:paraId="69054558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36730" w:rsidRPr="00BC446B" w14:paraId="07A8B5CE" w14:textId="77777777" w:rsidTr="00520B5E">
        <w:tc>
          <w:tcPr>
            <w:tcW w:w="4987" w:type="dxa"/>
          </w:tcPr>
          <w:p w14:paraId="7563B091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SEND Code of Practice and Graduated Response</w:t>
            </w:r>
          </w:p>
          <w:p w14:paraId="564C594A" w14:textId="3D64182C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lastRenderedPageBreak/>
              <w:t>Setting demonstrates:</w:t>
            </w:r>
          </w:p>
        </w:tc>
        <w:tc>
          <w:tcPr>
            <w:tcW w:w="4936" w:type="dxa"/>
          </w:tcPr>
          <w:p w14:paraId="4A0A493E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735E9861" w14:textId="77777777" w:rsidTr="00520B5E">
        <w:tc>
          <w:tcPr>
            <w:tcW w:w="4987" w:type="dxa"/>
          </w:tcPr>
          <w:p w14:paraId="769E14D7" w14:textId="440031C4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Knowledge of SEN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/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D Code of Practice</w:t>
            </w:r>
          </w:p>
        </w:tc>
        <w:tc>
          <w:tcPr>
            <w:tcW w:w="4936" w:type="dxa"/>
          </w:tcPr>
          <w:p w14:paraId="299279FD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13EEEA88" w14:textId="77777777" w:rsidTr="00520B5E">
        <w:tc>
          <w:tcPr>
            <w:tcW w:w="4987" w:type="dxa"/>
          </w:tcPr>
          <w:p w14:paraId="3CA4ACD2" w14:textId="202392C8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Knowledge of graduated response cycle</w:t>
            </w:r>
          </w:p>
        </w:tc>
        <w:tc>
          <w:tcPr>
            <w:tcW w:w="4936" w:type="dxa"/>
          </w:tcPr>
          <w:p w14:paraId="1486D6E6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841B793" w14:textId="77777777" w:rsidTr="00520B5E">
        <w:tc>
          <w:tcPr>
            <w:tcW w:w="4987" w:type="dxa"/>
          </w:tcPr>
          <w:p w14:paraId="4CDB3F7F" w14:textId="2FC0260D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Appropriate paperwork in place to support the 4 stages</w:t>
            </w:r>
          </w:p>
        </w:tc>
        <w:tc>
          <w:tcPr>
            <w:tcW w:w="4936" w:type="dxa"/>
          </w:tcPr>
          <w:p w14:paraId="121FC7D3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05C4E75D" w14:textId="77777777" w:rsidTr="00520B5E">
        <w:tc>
          <w:tcPr>
            <w:tcW w:w="4987" w:type="dxa"/>
          </w:tcPr>
          <w:p w14:paraId="582AC197" w14:textId="77777777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Evidence of parental engagement</w:t>
            </w:r>
          </w:p>
        </w:tc>
        <w:tc>
          <w:tcPr>
            <w:tcW w:w="4936" w:type="dxa"/>
          </w:tcPr>
          <w:p w14:paraId="7B51A21B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4D629628" w14:textId="77777777" w:rsidTr="00520B5E">
        <w:tc>
          <w:tcPr>
            <w:tcW w:w="4987" w:type="dxa"/>
          </w:tcPr>
          <w:p w14:paraId="325666B4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Equality Act 2010</w:t>
            </w:r>
          </w:p>
          <w:p w14:paraId="4986659D" w14:textId="77777777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demonstrates:</w:t>
            </w:r>
          </w:p>
          <w:p w14:paraId="4D54BDA3" w14:textId="214AB174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46FC0542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</w:tr>
      <w:tr w:rsidR="00520B5E" w:rsidRPr="00BC446B" w14:paraId="233E5A69" w14:textId="77777777" w:rsidTr="00520B5E">
        <w:tc>
          <w:tcPr>
            <w:tcW w:w="4987" w:type="dxa"/>
          </w:tcPr>
          <w:p w14:paraId="617477B2" w14:textId="401A4A2C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Knowledge of Equality Act</w:t>
            </w:r>
          </w:p>
        </w:tc>
        <w:tc>
          <w:tcPr>
            <w:tcW w:w="4936" w:type="dxa"/>
          </w:tcPr>
          <w:p w14:paraId="4C20D95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</w:tr>
      <w:tr w:rsidR="00520B5E" w:rsidRPr="00BC446B" w14:paraId="5CD27EB6" w14:textId="77777777" w:rsidTr="00520B5E">
        <w:tc>
          <w:tcPr>
            <w:tcW w:w="4987" w:type="dxa"/>
          </w:tcPr>
          <w:p w14:paraId="5B9718B9" w14:textId="4B9C43B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Reasonable adjustments</w:t>
            </w:r>
          </w:p>
        </w:tc>
        <w:tc>
          <w:tcPr>
            <w:tcW w:w="4936" w:type="dxa"/>
          </w:tcPr>
          <w:p w14:paraId="4E9C4A12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</w:tr>
      <w:tr w:rsidR="0044783A" w:rsidRPr="00BC446B" w14:paraId="0694C999" w14:textId="77777777" w:rsidTr="00520B5E">
        <w:tc>
          <w:tcPr>
            <w:tcW w:w="4987" w:type="dxa"/>
          </w:tcPr>
          <w:p w14:paraId="0A5AB43B" w14:textId="77777777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Refers to act within SEN/D policy</w:t>
            </w:r>
          </w:p>
        </w:tc>
        <w:tc>
          <w:tcPr>
            <w:tcW w:w="4936" w:type="dxa"/>
          </w:tcPr>
          <w:p w14:paraId="54C0E16C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B36730" w:rsidRPr="00BC446B" w14:paraId="7EE96F50" w14:textId="77777777" w:rsidTr="00520B5E">
        <w:trPr>
          <w:trHeight w:val="279"/>
        </w:trPr>
        <w:tc>
          <w:tcPr>
            <w:tcW w:w="4987" w:type="dxa"/>
          </w:tcPr>
          <w:p w14:paraId="2C092C8E" w14:textId="77777777" w:rsidR="00B36730" w:rsidRPr="00BC446B" w:rsidRDefault="00B36730" w:rsidP="00B36730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Speech, Language and Communication</w:t>
            </w:r>
          </w:p>
          <w:p w14:paraId="3A989604" w14:textId="43F513E6" w:rsidR="00520B5E" w:rsidRPr="00BC446B" w:rsidRDefault="00520B5E" w:rsidP="00B36730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0ABFE60E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1F7242EC" w14:textId="77777777" w:rsidTr="00520B5E">
        <w:trPr>
          <w:trHeight w:val="279"/>
        </w:trPr>
        <w:tc>
          <w:tcPr>
            <w:tcW w:w="4987" w:type="dxa"/>
          </w:tcPr>
          <w:p w14:paraId="535E2CF3" w14:textId="47091E39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routines are supported with visual prompts (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n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ormal 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e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ntitlement provision) and additional prompts used for individual children.</w:t>
            </w:r>
          </w:p>
        </w:tc>
        <w:tc>
          <w:tcPr>
            <w:tcW w:w="4936" w:type="dxa"/>
          </w:tcPr>
          <w:p w14:paraId="5EEF5A91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2C20B97" w14:textId="77777777" w:rsidTr="00520B5E">
        <w:trPr>
          <w:trHeight w:val="279"/>
        </w:trPr>
        <w:tc>
          <w:tcPr>
            <w:tcW w:w="4987" w:type="dxa"/>
          </w:tcPr>
          <w:p w14:paraId="6AFCB285" w14:textId="26FAC7A5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Specific targets from S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peech and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L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 xml:space="preserve">anguage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T</w:t>
            </w:r>
            <w:r w:rsidR="00A80355" w:rsidRPr="00BC446B">
              <w:rPr>
                <w:rFonts w:cstheme="minorHAnsi"/>
                <w:sz w:val="22"/>
                <w:szCs w:val="22"/>
                <w:lang w:val="en-GB"/>
              </w:rPr>
              <w:t>herapy (SLT)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reports are in place to support individual children.  </w:t>
            </w:r>
          </w:p>
        </w:tc>
        <w:tc>
          <w:tcPr>
            <w:tcW w:w="4936" w:type="dxa"/>
          </w:tcPr>
          <w:p w14:paraId="7B597A9E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96B4E12" w14:textId="77777777" w:rsidTr="00520B5E">
        <w:trPr>
          <w:trHeight w:val="279"/>
        </w:trPr>
        <w:tc>
          <w:tcPr>
            <w:tcW w:w="4987" w:type="dxa"/>
          </w:tcPr>
          <w:p w14:paraId="7FA90AAF" w14:textId="69381B13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Key 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Person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liaises with parents for consistent approaches</w:t>
            </w:r>
          </w:p>
        </w:tc>
        <w:tc>
          <w:tcPr>
            <w:tcW w:w="4936" w:type="dxa"/>
          </w:tcPr>
          <w:p w14:paraId="130BDEB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AB10468" w14:textId="77777777" w:rsidTr="00520B5E">
        <w:trPr>
          <w:trHeight w:val="279"/>
        </w:trPr>
        <w:tc>
          <w:tcPr>
            <w:tcW w:w="4987" w:type="dxa"/>
          </w:tcPr>
          <w:p w14:paraId="45B60F2F" w14:textId="22C2A789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staff adjust language and resources to support communication.</w:t>
            </w:r>
          </w:p>
        </w:tc>
        <w:tc>
          <w:tcPr>
            <w:tcW w:w="4936" w:type="dxa"/>
          </w:tcPr>
          <w:p w14:paraId="7471540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DE5FA97" w14:textId="77777777" w:rsidTr="00520B5E">
        <w:trPr>
          <w:trHeight w:val="279"/>
        </w:trPr>
        <w:tc>
          <w:tcPr>
            <w:tcW w:w="4987" w:type="dxa"/>
          </w:tcPr>
          <w:p w14:paraId="7FE93CF5" w14:textId="20A20917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Training accessed by team</w:t>
            </w:r>
          </w:p>
        </w:tc>
        <w:tc>
          <w:tcPr>
            <w:tcW w:w="4936" w:type="dxa"/>
          </w:tcPr>
          <w:p w14:paraId="31D47053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DE156F9" w14:textId="77777777" w:rsidTr="00520B5E">
        <w:trPr>
          <w:trHeight w:val="279"/>
        </w:trPr>
        <w:tc>
          <w:tcPr>
            <w:tcW w:w="4987" w:type="dxa"/>
          </w:tcPr>
          <w:p w14:paraId="458E13F1" w14:textId="0E03851E" w:rsidR="00520B5E" w:rsidRPr="00BC446B" w:rsidRDefault="00520B5E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G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raduated Response (G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R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)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levels are applied for where applicable with evidence of interventions</w:t>
            </w:r>
          </w:p>
        </w:tc>
        <w:tc>
          <w:tcPr>
            <w:tcW w:w="4936" w:type="dxa"/>
          </w:tcPr>
          <w:p w14:paraId="769FDCAA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6C691AD8" w14:textId="77777777" w:rsidTr="00520B5E">
        <w:trPr>
          <w:trHeight w:val="616"/>
        </w:trPr>
        <w:tc>
          <w:tcPr>
            <w:tcW w:w="4987" w:type="dxa"/>
          </w:tcPr>
          <w:p w14:paraId="41C70F23" w14:textId="291A1D90" w:rsidR="0044783A" w:rsidRPr="00BC446B" w:rsidRDefault="0044783A" w:rsidP="00520B5E">
            <w:pPr>
              <w:shd w:val="clear" w:color="auto" w:fill="FFFFFF" w:themeFill="background1"/>
              <w:tabs>
                <w:tab w:val="left" w:pos="1526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Staff are aware of Speech and Language Therapy referral routes and criteria of support </w:t>
            </w:r>
          </w:p>
        </w:tc>
        <w:tc>
          <w:tcPr>
            <w:tcW w:w="4936" w:type="dxa"/>
          </w:tcPr>
          <w:p w14:paraId="0C9C8A0F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73897993" w14:textId="77777777" w:rsidTr="00520B5E">
        <w:tc>
          <w:tcPr>
            <w:tcW w:w="4987" w:type="dxa"/>
          </w:tcPr>
          <w:p w14:paraId="349A0A73" w14:textId="77777777" w:rsidR="00B36730" w:rsidRPr="00BC446B" w:rsidRDefault="00B36730" w:rsidP="00B36730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2 Year Integrated Check</w:t>
            </w:r>
          </w:p>
          <w:p w14:paraId="643A6408" w14:textId="76FF20CB" w:rsidR="00520B5E" w:rsidRPr="00BC446B" w:rsidRDefault="00520B5E" w:rsidP="00B36730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2F1C80E4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8FA9F46" w14:textId="77777777" w:rsidTr="00520B5E">
        <w:tc>
          <w:tcPr>
            <w:tcW w:w="4987" w:type="dxa"/>
          </w:tcPr>
          <w:p w14:paraId="1408E686" w14:textId="3FD09F88" w:rsidR="00520B5E" w:rsidRPr="00BC446B" w:rsidRDefault="00520B5E" w:rsidP="00520B5E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Evidence of 2-year-old checks taking place.</w:t>
            </w:r>
          </w:p>
        </w:tc>
        <w:tc>
          <w:tcPr>
            <w:tcW w:w="4936" w:type="dxa"/>
          </w:tcPr>
          <w:p w14:paraId="34804C4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1E35610" w14:textId="77777777" w:rsidTr="00520B5E">
        <w:tc>
          <w:tcPr>
            <w:tcW w:w="4987" w:type="dxa"/>
          </w:tcPr>
          <w:p w14:paraId="4DD5B0A6" w14:textId="4184ED9D" w:rsidR="00520B5E" w:rsidRPr="00BC446B" w:rsidRDefault="00520B5E" w:rsidP="00520B5E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Evidence of how setting address any arising issues with parents</w:t>
            </w:r>
          </w:p>
        </w:tc>
        <w:tc>
          <w:tcPr>
            <w:tcW w:w="4936" w:type="dxa"/>
          </w:tcPr>
          <w:p w14:paraId="19E6AF6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2680208B" w14:textId="77777777" w:rsidTr="00520B5E">
        <w:tc>
          <w:tcPr>
            <w:tcW w:w="4987" w:type="dxa"/>
          </w:tcPr>
          <w:p w14:paraId="3334FDBC" w14:textId="239C6545" w:rsidR="00520B5E" w:rsidRPr="00BC446B" w:rsidRDefault="00520B5E" w:rsidP="00520B5E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has provided a summary of the check to share with the Health Visitor</w:t>
            </w:r>
          </w:p>
        </w:tc>
        <w:tc>
          <w:tcPr>
            <w:tcW w:w="4936" w:type="dxa"/>
          </w:tcPr>
          <w:p w14:paraId="12F6F0CA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4239DFDC" w14:textId="77777777" w:rsidTr="00520B5E">
        <w:tc>
          <w:tcPr>
            <w:tcW w:w="4987" w:type="dxa"/>
          </w:tcPr>
          <w:p w14:paraId="6042A6D5" w14:textId="5FA7FBCA" w:rsidR="0044783A" w:rsidRPr="00BC446B" w:rsidRDefault="0044783A" w:rsidP="00520B5E">
            <w:pPr>
              <w:shd w:val="clear" w:color="auto" w:fill="FFFFFF" w:themeFill="background1"/>
              <w:tabs>
                <w:tab w:val="left" w:pos="1053"/>
              </w:tabs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has liaised with Health Visitor when concerns exist (contact details)</w:t>
            </w:r>
          </w:p>
        </w:tc>
        <w:tc>
          <w:tcPr>
            <w:tcW w:w="4936" w:type="dxa"/>
          </w:tcPr>
          <w:p w14:paraId="78071191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0FE657AD" w14:textId="77777777" w:rsidTr="00520B5E">
        <w:tc>
          <w:tcPr>
            <w:tcW w:w="4987" w:type="dxa"/>
          </w:tcPr>
          <w:p w14:paraId="6969EFB9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Induction and transition (staff and children)</w:t>
            </w:r>
          </w:p>
          <w:p w14:paraId="258654C5" w14:textId="148FBD9D" w:rsidR="00520B5E" w:rsidRPr="00BC446B" w:rsidRDefault="00520B5E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6" w:type="dxa"/>
          </w:tcPr>
          <w:p w14:paraId="2D6ED4CC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0584B05" w14:textId="77777777" w:rsidTr="00520B5E">
        <w:tc>
          <w:tcPr>
            <w:tcW w:w="4987" w:type="dxa"/>
          </w:tcPr>
          <w:p w14:paraId="2D5D8FE6" w14:textId="40DE65DE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SENCO folder and children’s individual information has been shared with key staff.  </w:t>
            </w:r>
          </w:p>
        </w:tc>
        <w:tc>
          <w:tcPr>
            <w:tcW w:w="4936" w:type="dxa"/>
          </w:tcPr>
          <w:p w14:paraId="7966304F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1001A675" w14:textId="77777777" w:rsidTr="00520B5E">
        <w:tc>
          <w:tcPr>
            <w:tcW w:w="4987" w:type="dxa"/>
          </w:tcPr>
          <w:p w14:paraId="458970A0" w14:textId="2EF6DE8D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All Staff members receive appropriate modelling of interventions from the SENCO until confident to do so independently.</w:t>
            </w:r>
          </w:p>
        </w:tc>
        <w:tc>
          <w:tcPr>
            <w:tcW w:w="4936" w:type="dxa"/>
          </w:tcPr>
          <w:p w14:paraId="44B28769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1D806491" w14:textId="77777777" w:rsidTr="00520B5E">
        <w:tc>
          <w:tcPr>
            <w:tcW w:w="4987" w:type="dxa"/>
          </w:tcPr>
          <w:p w14:paraId="021A2CB2" w14:textId="381679C9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Transitional arrangement (daily, room to room, to reception) are in place for all children with additional needs. </w:t>
            </w:r>
          </w:p>
        </w:tc>
        <w:tc>
          <w:tcPr>
            <w:tcW w:w="4936" w:type="dxa"/>
          </w:tcPr>
          <w:p w14:paraId="41315B17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520B5E" w:rsidRPr="00BC446B" w14:paraId="5A283D13" w14:textId="77777777" w:rsidTr="00520B5E">
        <w:tc>
          <w:tcPr>
            <w:tcW w:w="4987" w:type="dxa"/>
          </w:tcPr>
          <w:p w14:paraId="1BFF9FD5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Staff Training and CPD</w:t>
            </w:r>
          </w:p>
          <w:p w14:paraId="1A54F073" w14:textId="686F96F8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  <w:tc>
          <w:tcPr>
            <w:tcW w:w="4936" w:type="dxa"/>
          </w:tcPr>
          <w:p w14:paraId="47992B8B" w14:textId="77777777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753BFEEC" w14:textId="77777777" w:rsidTr="00520B5E">
        <w:tc>
          <w:tcPr>
            <w:tcW w:w="4987" w:type="dxa"/>
          </w:tcPr>
          <w:p w14:paraId="0F93F248" w14:textId="4ACCA0DB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lastRenderedPageBreak/>
              <w:t>SENCO is a L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 xml:space="preserve">evel 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3 worker with relevant experience and training.</w:t>
            </w:r>
          </w:p>
        </w:tc>
        <w:tc>
          <w:tcPr>
            <w:tcW w:w="4936" w:type="dxa"/>
          </w:tcPr>
          <w:p w14:paraId="39C27CD6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322F285" w14:textId="77777777" w:rsidTr="00520B5E">
        <w:tc>
          <w:tcPr>
            <w:tcW w:w="4987" w:type="dxa"/>
          </w:tcPr>
          <w:p w14:paraId="48CB2D62" w14:textId="50F97DAD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Manager is aware of the duties and responsibilities of the 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setting and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support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s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the SENCO in all matters of inclusion.</w:t>
            </w:r>
          </w:p>
        </w:tc>
        <w:tc>
          <w:tcPr>
            <w:tcW w:w="4936" w:type="dxa"/>
          </w:tcPr>
          <w:p w14:paraId="3598D4A8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5987D8DC" w14:textId="77777777" w:rsidTr="00520B5E">
        <w:tc>
          <w:tcPr>
            <w:tcW w:w="4987" w:type="dxa"/>
          </w:tcPr>
          <w:p w14:paraId="4045D80F" w14:textId="44EDF912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SENCO disseminates SEN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/D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learning to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 xml:space="preserve"> whole team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in staff meetings</w:t>
            </w:r>
          </w:p>
        </w:tc>
        <w:tc>
          <w:tcPr>
            <w:tcW w:w="4936" w:type="dxa"/>
          </w:tcPr>
          <w:p w14:paraId="527E7CD5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28C6E4E" w14:textId="77777777" w:rsidTr="00520B5E">
        <w:tc>
          <w:tcPr>
            <w:tcW w:w="4987" w:type="dxa"/>
          </w:tcPr>
          <w:p w14:paraId="12D80661" w14:textId="787913E2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Staff have documented training or qualifications in areas specific to inclusion.</w:t>
            </w:r>
          </w:p>
        </w:tc>
        <w:tc>
          <w:tcPr>
            <w:tcW w:w="4936" w:type="dxa"/>
          </w:tcPr>
          <w:p w14:paraId="0479750F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0A5B96E" w14:textId="77777777" w:rsidTr="00520B5E">
        <w:tc>
          <w:tcPr>
            <w:tcW w:w="4987" w:type="dxa"/>
          </w:tcPr>
          <w:p w14:paraId="4B8251E8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Funding, monitoring and information</w:t>
            </w:r>
          </w:p>
          <w:p w14:paraId="0E782806" w14:textId="201E752F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</w:p>
        </w:tc>
        <w:tc>
          <w:tcPr>
            <w:tcW w:w="4936" w:type="dxa"/>
          </w:tcPr>
          <w:p w14:paraId="32A43583" w14:textId="77777777" w:rsidR="00520B5E" w:rsidRPr="00BC446B" w:rsidRDefault="00520B5E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17FD59F8" w14:textId="77777777" w:rsidTr="00520B5E">
        <w:trPr>
          <w:trHeight w:val="274"/>
        </w:trPr>
        <w:tc>
          <w:tcPr>
            <w:tcW w:w="4990" w:type="dxa"/>
          </w:tcPr>
          <w:p w14:paraId="37F693B7" w14:textId="53C02DDF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Setting accurately allocate 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Graduated Response (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>GR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)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levels to their children with additional needs and/or disabilities</w:t>
            </w:r>
          </w:p>
        </w:tc>
        <w:tc>
          <w:tcPr>
            <w:tcW w:w="4933" w:type="dxa"/>
          </w:tcPr>
          <w:p w14:paraId="098D9798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190E25B7" w14:textId="77777777" w:rsidTr="00520B5E">
        <w:tc>
          <w:tcPr>
            <w:tcW w:w="4990" w:type="dxa"/>
          </w:tcPr>
          <w:p w14:paraId="5483EBE6" w14:textId="11F69BB9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support provided to named children helps them to make progress</w:t>
            </w:r>
          </w:p>
        </w:tc>
        <w:tc>
          <w:tcPr>
            <w:tcW w:w="4933" w:type="dxa"/>
          </w:tcPr>
          <w:p w14:paraId="63FDC226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220E5D62" w14:textId="77777777" w:rsidTr="00520B5E">
        <w:tc>
          <w:tcPr>
            <w:tcW w:w="4990" w:type="dxa"/>
          </w:tcPr>
          <w:p w14:paraId="6386B71D" w14:textId="774C3E3E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Parents are aware of </w:t>
            </w:r>
            <w:r w:rsidR="00F3180F" w:rsidRPr="00BC446B">
              <w:rPr>
                <w:rFonts w:cstheme="minorHAnsi"/>
                <w:sz w:val="22"/>
                <w:szCs w:val="22"/>
                <w:lang w:val="en-GB"/>
              </w:rPr>
              <w:t>Graduated Response (GR)</w:t>
            </w: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 level claimed</w:t>
            </w:r>
          </w:p>
        </w:tc>
        <w:tc>
          <w:tcPr>
            <w:tcW w:w="4933" w:type="dxa"/>
          </w:tcPr>
          <w:p w14:paraId="422BB6BE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2E05F4B8" w14:textId="77777777" w:rsidTr="00520B5E">
        <w:tc>
          <w:tcPr>
            <w:tcW w:w="4990" w:type="dxa"/>
          </w:tcPr>
          <w:p w14:paraId="29F69899" w14:textId="4849219E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Inclusion Supplement Calculator </w:t>
            </w:r>
          </w:p>
        </w:tc>
        <w:tc>
          <w:tcPr>
            <w:tcW w:w="4933" w:type="dxa"/>
          </w:tcPr>
          <w:p w14:paraId="7448F5AD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57CF69CA" w14:textId="77777777" w:rsidTr="00520B5E">
        <w:trPr>
          <w:trHeight w:val="552"/>
        </w:trPr>
        <w:tc>
          <w:tcPr>
            <w:tcW w:w="4990" w:type="dxa"/>
          </w:tcPr>
          <w:p w14:paraId="1E865142" w14:textId="77AD1EA5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Disability Living Allowance and the Disability Access Fund</w:t>
            </w:r>
          </w:p>
        </w:tc>
        <w:tc>
          <w:tcPr>
            <w:tcW w:w="4933" w:type="dxa"/>
          </w:tcPr>
          <w:p w14:paraId="21E81BAF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  <w:p w14:paraId="5D3510B9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5EB8E6D1" w14:textId="77777777" w:rsidTr="00520B5E">
        <w:tc>
          <w:tcPr>
            <w:tcW w:w="4990" w:type="dxa"/>
          </w:tcPr>
          <w:p w14:paraId="7C624B59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Awareness of Worcestershire SEND Arrangements</w:t>
            </w:r>
          </w:p>
          <w:p w14:paraId="2E18584C" w14:textId="107BE73A" w:rsidR="00F3180F" w:rsidRPr="00BC446B" w:rsidRDefault="00F3180F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770039DE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4B308A7" w14:textId="77777777" w:rsidTr="00520B5E">
        <w:tc>
          <w:tcPr>
            <w:tcW w:w="4990" w:type="dxa"/>
          </w:tcPr>
          <w:p w14:paraId="4323697F" w14:textId="04DF3578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Preschool forum</w:t>
            </w:r>
          </w:p>
        </w:tc>
        <w:tc>
          <w:tcPr>
            <w:tcW w:w="4933" w:type="dxa"/>
          </w:tcPr>
          <w:p w14:paraId="40930EFE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CD2F945" w14:textId="77777777" w:rsidTr="00520B5E">
        <w:tc>
          <w:tcPr>
            <w:tcW w:w="4990" w:type="dxa"/>
          </w:tcPr>
          <w:p w14:paraId="37E1CFC6" w14:textId="0212FED6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Local Offer</w:t>
            </w:r>
          </w:p>
        </w:tc>
        <w:tc>
          <w:tcPr>
            <w:tcW w:w="4933" w:type="dxa"/>
          </w:tcPr>
          <w:p w14:paraId="6CECA06A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0CF3416" w14:textId="77777777" w:rsidTr="00520B5E">
        <w:tc>
          <w:tcPr>
            <w:tcW w:w="4990" w:type="dxa"/>
          </w:tcPr>
          <w:p w14:paraId="3129A3C4" w14:textId="2DC6FABC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Education Health Care Plans</w:t>
            </w:r>
          </w:p>
        </w:tc>
        <w:tc>
          <w:tcPr>
            <w:tcW w:w="4933" w:type="dxa"/>
          </w:tcPr>
          <w:p w14:paraId="257C68DA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9682730" w14:textId="77777777" w:rsidTr="00520B5E">
        <w:tc>
          <w:tcPr>
            <w:tcW w:w="4990" w:type="dxa"/>
          </w:tcPr>
          <w:p w14:paraId="11A59B49" w14:textId="4B83B2A1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SEND Information and Advice Service</w:t>
            </w:r>
          </w:p>
        </w:tc>
        <w:tc>
          <w:tcPr>
            <w:tcW w:w="4933" w:type="dxa"/>
          </w:tcPr>
          <w:p w14:paraId="1942F971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65EF1ECB" w14:textId="77777777" w:rsidTr="00520B5E">
        <w:tc>
          <w:tcPr>
            <w:tcW w:w="4990" w:type="dxa"/>
          </w:tcPr>
          <w:p w14:paraId="099B8BB2" w14:textId="77777777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 xml:space="preserve">Graduated response – supporting WCF paperwork </w:t>
            </w:r>
          </w:p>
        </w:tc>
        <w:tc>
          <w:tcPr>
            <w:tcW w:w="4933" w:type="dxa"/>
          </w:tcPr>
          <w:p w14:paraId="2F4ADC38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B36730" w:rsidRPr="00BC446B" w14:paraId="0A6774EF" w14:textId="77777777" w:rsidTr="00520B5E">
        <w:tc>
          <w:tcPr>
            <w:tcW w:w="4990" w:type="dxa"/>
          </w:tcPr>
          <w:p w14:paraId="09CC3412" w14:textId="77777777" w:rsidR="00B36730" w:rsidRPr="00BC446B" w:rsidRDefault="00B36730" w:rsidP="00B36730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b/>
                <w:sz w:val="22"/>
                <w:szCs w:val="22"/>
                <w:lang w:val="en-GB"/>
              </w:rPr>
              <w:t>Children who are Looked After</w:t>
            </w:r>
          </w:p>
          <w:p w14:paraId="17C80011" w14:textId="61F186C6" w:rsidR="00F3180F" w:rsidRPr="00BC446B" w:rsidRDefault="00F3180F" w:rsidP="00B36730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6EB755E7" w14:textId="77777777" w:rsidR="00B36730" w:rsidRPr="00BC446B" w:rsidRDefault="00B36730" w:rsidP="0044783A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4204496E" w14:textId="77777777" w:rsidTr="00520B5E">
        <w:tc>
          <w:tcPr>
            <w:tcW w:w="4990" w:type="dxa"/>
          </w:tcPr>
          <w:p w14:paraId="3307DE82" w14:textId="3F39217E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registration forms include question on Looked After status.</w:t>
            </w:r>
          </w:p>
        </w:tc>
        <w:tc>
          <w:tcPr>
            <w:tcW w:w="4933" w:type="dxa"/>
          </w:tcPr>
          <w:p w14:paraId="4FEFEA81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66369057" w14:textId="77777777" w:rsidTr="00520B5E">
        <w:tc>
          <w:tcPr>
            <w:tcW w:w="4990" w:type="dxa"/>
          </w:tcPr>
          <w:p w14:paraId="1E197F10" w14:textId="0DC6C44E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Early Years Pupil Premium is claimed</w:t>
            </w:r>
          </w:p>
        </w:tc>
        <w:tc>
          <w:tcPr>
            <w:tcW w:w="4933" w:type="dxa"/>
          </w:tcPr>
          <w:p w14:paraId="532C514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312B7AC6" w14:textId="77777777" w:rsidTr="00520B5E">
        <w:tc>
          <w:tcPr>
            <w:tcW w:w="4990" w:type="dxa"/>
          </w:tcPr>
          <w:p w14:paraId="3B0A3208" w14:textId="1D659C89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raise awareness of NEF 2-year-old criteria with parents/carers</w:t>
            </w:r>
          </w:p>
        </w:tc>
        <w:tc>
          <w:tcPr>
            <w:tcW w:w="4933" w:type="dxa"/>
          </w:tcPr>
          <w:p w14:paraId="112E1D6C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520B5E" w:rsidRPr="00BC446B" w14:paraId="7751FB9D" w14:textId="77777777" w:rsidTr="00520B5E">
        <w:tc>
          <w:tcPr>
            <w:tcW w:w="4990" w:type="dxa"/>
          </w:tcPr>
          <w:p w14:paraId="32ABCDE1" w14:textId="5E32F016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b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Setting have Social Worker details on file and liaise regularly</w:t>
            </w:r>
          </w:p>
        </w:tc>
        <w:tc>
          <w:tcPr>
            <w:tcW w:w="4933" w:type="dxa"/>
          </w:tcPr>
          <w:p w14:paraId="04060DF4" w14:textId="77777777" w:rsidR="00520B5E" w:rsidRPr="00BC446B" w:rsidRDefault="00520B5E" w:rsidP="00520B5E">
            <w:pPr>
              <w:shd w:val="clear" w:color="auto" w:fill="FFFFFF" w:themeFill="background1"/>
              <w:rPr>
                <w:rFonts w:cstheme="minorHAnsi"/>
                <w:color w:val="FF0000"/>
                <w:lang w:val="en-GB"/>
              </w:rPr>
            </w:pPr>
          </w:p>
        </w:tc>
      </w:tr>
      <w:tr w:rsidR="0044783A" w:rsidRPr="00BC446B" w14:paraId="127DAC63" w14:textId="77777777" w:rsidTr="00520B5E">
        <w:tc>
          <w:tcPr>
            <w:tcW w:w="4990" w:type="dxa"/>
          </w:tcPr>
          <w:p w14:paraId="11C47807" w14:textId="77777777" w:rsidR="0044783A" w:rsidRPr="00BC446B" w:rsidRDefault="0044783A" w:rsidP="00520B5E">
            <w:pPr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  <w:r w:rsidRPr="00BC446B">
              <w:rPr>
                <w:rFonts w:cstheme="minorHAnsi"/>
                <w:sz w:val="22"/>
                <w:szCs w:val="22"/>
                <w:lang w:val="en-GB"/>
              </w:rPr>
              <w:t>Early Years Pupil Education Plan</w:t>
            </w:r>
          </w:p>
          <w:p w14:paraId="393D6296" w14:textId="77777777" w:rsidR="0044783A" w:rsidRPr="00BC446B" w:rsidRDefault="0044783A" w:rsidP="00B36730">
            <w:pPr>
              <w:pStyle w:val="ListParagraph"/>
              <w:shd w:val="clear" w:color="auto" w:fill="FFFFFF" w:themeFill="background1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4933" w:type="dxa"/>
          </w:tcPr>
          <w:p w14:paraId="02FBD742" w14:textId="77777777" w:rsidR="0044783A" w:rsidRPr="00BC446B" w:rsidRDefault="0044783A" w:rsidP="0044783A">
            <w:pPr>
              <w:shd w:val="clear" w:color="auto" w:fill="FFFFFF" w:themeFill="background1"/>
              <w:rPr>
                <w:rFonts w:cstheme="minorHAnsi"/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5BB3B3BE" w14:textId="77777777" w:rsidR="00A80355" w:rsidRPr="00BC446B" w:rsidRDefault="00A80355" w:rsidP="0044783A">
      <w:pPr>
        <w:shd w:val="clear" w:color="auto" w:fill="FFFFFF" w:themeFill="background1"/>
        <w:rPr>
          <w:rFonts w:cstheme="minorHAnsi"/>
        </w:rPr>
      </w:pPr>
    </w:p>
    <w:p w14:paraId="63F56FD0" w14:textId="3D36003B" w:rsidR="0044783A" w:rsidRPr="00BC446B" w:rsidRDefault="00A80355" w:rsidP="0044783A">
      <w:pPr>
        <w:shd w:val="clear" w:color="auto" w:fill="FFFFFF" w:themeFill="background1"/>
        <w:rPr>
          <w:rFonts w:cstheme="minorHAnsi"/>
        </w:rPr>
      </w:pPr>
      <w:r w:rsidRPr="00BC446B">
        <w:rPr>
          <w:rFonts w:cstheme="minorHAnsi"/>
        </w:rPr>
        <w:t>When the SENCO identifies gaps in their settings inclusive practice, more information in the specific areas can be accessed via:</w:t>
      </w:r>
    </w:p>
    <w:p w14:paraId="35E62A6F" w14:textId="0BDF4936" w:rsidR="00A80355" w:rsidRPr="00BC446B" w:rsidRDefault="00A80355" w:rsidP="0044783A">
      <w:pPr>
        <w:shd w:val="clear" w:color="auto" w:fill="FFFFFF" w:themeFill="background1"/>
      </w:pPr>
      <w:r w:rsidRPr="00BC446B">
        <w:rPr>
          <w:rFonts w:cstheme="minorHAnsi"/>
        </w:rPr>
        <w:t>The Early Years Inclusion Helpline and Website:</w:t>
      </w:r>
      <w:r w:rsidRPr="00BC446B">
        <w:t xml:space="preserve"> 01905 843099</w:t>
      </w:r>
    </w:p>
    <w:p w14:paraId="100865AD" w14:textId="2D315525" w:rsidR="00A80355" w:rsidRPr="00BC446B" w:rsidRDefault="00E67AF0" w:rsidP="0044783A">
      <w:pPr>
        <w:shd w:val="clear" w:color="auto" w:fill="FFFFFF" w:themeFill="background1"/>
        <w:rPr>
          <w:rFonts w:cstheme="minorHAnsi"/>
          <w:b/>
          <w:bCs/>
        </w:rPr>
      </w:pPr>
      <w:hyperlink r:id="rId6" w:history="1">
        <w:r w:rsidR="00A80355" w:rsidRPr="00BC446B">
          <w:rPr>
            <w:rStyle w:val="Hyperlink"/>
            <w:rFonts w:cstheme="minorHAnsi"/>
            <w:b/>
            <w:bCs/>
          </w:rPr>
          <w:t>https://www.worcestershire.gov.uk/WCFEducationServices/info/31/early-years-inclusion</w:t>
        </w:r>
      </w:hyperlink>
    </w:p>
    <w:p w14:paraId="59CF62D1" w14:textId="7750D06A" w:rsidR="0044783A" w:rsidRPr="00BC446B" w:rsidRDefault="00A80355" w:rsidP="0044783A">
      <w:pPr>
        <w:shd w:val="clear" w:color="auto" w:fill="FFFFFF" w:themeFill="background1"/>
        <w:rPr>
          <w:rFonts w:cstheme="minorHAnsi"/>
        </w:rPr>
      </w:pPr>
      <w:r w:rsidRPr="00BC446B">
        <w:rPr>
          <w:rFonts w:cstheme="minorHAnsi"/>
        </w:rPr>
        <w:t>Free webinars on early years inclusive practice WCF YouTube page:</w:t>
      </w:r>
    </w:p>
    <w:p w14:paraId="040EC71E" w14:textId="5B4B6B11" w:rsidR="0044783A" w:rsidRPr="00BC446B" w:rsidRDefault="00E67AF0" w:rsidP="00A80355">
      <w:pPr>
        <w:shd w:val="clear" w:color="auto" w:fill="FFFFFF" w:themeFill="background1"/>
        <w:rPr>
          <w:rFonts w:cstheme="minorHAnsi"/>
          <w:b/>
        </w:rPr>
      </w:pPr>
      <w:hyperlink r:id="rId7" w:history="1">
        <w:r w:rsidR="00A80355" w:rsidRPr="00BC446B">
          <w:rPr>
            <w:rStyle w:val="Hyperlink"/>
            <w:rFonts w:cstheme="minorHAnsi"/>
            <w:b/>
          </w:rPr>
          <w:t>https://www.youtube.com/channel/UCIzuswwI21xlhgENexILv2Q</w:t>
        </w:r>
      </w:hyperlink>
      <w:r w:rsidR="00A80355" w:rsidRPr="00BC446B">
        <w:rPr>
          <w:rFonts w:cstheme="minorHAnsi"/>
          <w:b/>
        </w:rPr>
        <w:t xml:space="preserve"> </w:t>
      </w:r>
    </w:p>
    <w:p w14:paraId="4E1A306E" w14:textId="77777777" w:rsidR="0044783A" w:rsidRPr="00BC446B" w:rsidRDefault="0044783A" w:rsidP="0044783A">
      <w:pPr>
        <w:shd w:val="clear" w:color="auto" w:fill="FFFFFF" w:themeFill="background1"/>
        <w:jc w:val="center"/>
        <w:rPr>
          <w:rFonts w:cstheme="minorHAnsi"/>
          <w:b/>
        </w:rPr>
        <w:sectPr w:rsidR="0044783A" w:rsidRPr="00BC446B" w:rsidSect="0044783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7538"/>
        <w:gridCol w:w="2892"/>
        <w:gridCol w:w="3518"/>
      </w:tblGrid>
      <w:tr w:rsidR="0044783A" w:rsidRPr="00BC446B" w14:paraId="4343A53B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CE8DE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BC446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What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E78D9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BC446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By Whom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EDB66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BC446B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By When</w:t>
            </w:r>
          </w:p>
        </w:tc>
      </w:tr>
      <w:tr w:rsidR="0044783A" w:rsidRPr="00BC446B" w14:paraId="31F78B49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B41C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08D84A53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6CA815CF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9A73B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2DD2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44783A" w:rsidRPr="00BC446B" w14:paraId="45F97AFA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39A1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2A5A7B41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6C373511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CB52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C782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44783A" w:rsidRPr="00BC446B" w14:paraId="7DD933BA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9DDF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19881E59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160107DD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605C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8704F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44783A" w:rsidRPr="00BC446B" w14:paraId="31B9993B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D25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4241E09C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7452950A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8EB4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62CA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  <w:tr w:rsidR="0044783A" w:rsidRPr="00BC446B" w14:paraId="4874ECEF" w14:textId="77777777" w:rsidTr="00BC446B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289A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5D7A7050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  <w:p w14:paraId="3D339B22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3AAB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EB1B9" w14:textId="77777777" w:rsidR="0044783A" w:rsidRPr="00BC446B" w:rsidRDefault="0044783A" w:rsidP="00BC446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</w:tr>
    </w:tbl>
    <w:p w14:paraId="56FA4205" w14:textId="496A5B41" w:rsidR="00BC446B" w:rsidRPr="00BC446B" w:rsidRDefault="00BC446B" w:rsidP="00BC446B">
      <w:pPr>
        <w:shd w:val="clear" w:color="auto" w:fill="FFFFFF" w:themeFill="background1"/>
        <w:jc w:val="center"/>
        <w:rPr>
          <w:rFonts w:cstheme="minorHAnsi"/>
          <w:b/>
          <w:bCs/>
        </w:rPr>
      </w:pPr>
      <w:r w:rsidRPr="00BC446B">
        <w:rPr>
          <w:rFonts w:cstheme="minorHAnsi"/>
          <w:b/>
          <w:bCs/>
        </w:rPr>
        <w:t>Early Years Inclusion Action Plan</w:t>
      </w:r>
    </w:p>
    <w:p w14:paraId="43121704" w14:textId="77777777" w:rsidR="00BC446B" w:rsidRPr="00BC446B" w:rsidRDefault="00BC446B" w:rsidP="00BC446B">
      <w:pPr>
        <w:shd w:val="clear" w:color="auto" w:fill="FFFFFF" w:themeFill="background1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BC446B" w:rsidRPr="00BC446B" w14:paraId="72B16935" w14:textId="77777777" w:rsidTr="00BC446B">
        <w:tc>
          <w:tcPr>
            <w:tcW w:w="13948" w:type="dxa"/>
          </w:tcPr>
          <w:p w14:paraId="348BCFD8" w14:textId="2FAE9DA5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BC446B">
              <w:rPr>
                <w:rFonts w:cstheme="minorHAnsi"/>
                <w:b/>
                <w:bCs/>
                <w:lang w:val="en-GB"/>
              </w:rPr>
              <w:t>Comments</w:t>
            </w:r>
          </w:p>
        </w:tc>
      </w:tr>
      <w:tr w:rsidR="00BC446B" w:rsidRPr="00BC446B" w14:paraId="6A988C1C" w14:textId="77777777" w:rsidTr="00BC446B">
        <w:tc>
          <w:tcPr>
            <w:tcW w:w="13948" w:type="dxa"/>
          </w:tcPr>
          <w:p w14:paraId="5A56AE5B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2313B833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5AEAE478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74421B61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1C70F97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0490995A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55958AC0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34DCFE67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4E73F43B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6B84038E" w14:textId="77777777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  <w:p w14:paraId="1B1E0AFF" w14:textId="516D5C8A" w:rsidR="00BC446B" w:rsidRPr="00BC446B" w:rsidRDefault="00BC446B" w:rsidP="00BC446B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1C6F7715" w14:textId="77777777" w:rsidR="00BC446B" w:rsidRPr="00BC446B" w:rsidRDefault="00BC446B" w:rsidP="00BC446B">
      <w:pPr>
        <w:shd w:val="clear" w:color="auto" w:fill="FFFFFF" w:themeFill="background1"/>
        <w:jc w:val="center"/>
        <w:rPr>
          <w:rFonts w:cstheme="minorHAnsi"/>
          <w:b/>
          <w:bCs/>
        </w:rPr>
      </w:pPr>
    </w:p>
    <w:p w14:paraId="343F60C3" w14:textId="77777777" w:rsidR="00BC446B" w:rsidRPr="00BC446B" w:rsidRDefault="00BC446B" w:rsidP="00BC446B">
      <w:pPr>
        <w:shd w:val="clear" w:color="auto" w:fill="FFFFFF" w:themeFill="background1"/>
        <w:jc w:val="center"/>
        <w:rPr>
          <w:rFonts w:cstheme="minorHAnsi"/>
          <w:b/>
          <w:bCs/>
        </w:rPr>
      </w:pPr>
    </w:p>
    <w:sectPr w:rsidR="00BC446B" w:rsidRPr="00BC446B" w:rsidSect="0044783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758"/>
    <w:multiLevelType w:val="hybridMultilevel"/>
    <w:tmpl w:val="9768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95C2">
      <w:numFmt w:val="bullet"/>
      <w:lvlText w:val="-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698C"/>
    <w:multiLevelType w:val="hybridMultilevel"/>
    <w:tmpl w:val="F5BA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834"/>
    <w:multiLevelType w:val="hybridMultilevel"/>
    <w:tmpl w:val="928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DAA"/>
    <w:multiLevelType w:val="hybridMultilevel"/>
    <w:tmpl w:val="BD3C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95C2">
      <w:numFmt w:val="bullet"/>
      <w:lvlText w:val="-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17AC"/>
    <w:multiLevelType w:val="hybridMultilevel"/>
    <w:tmpl w:val="C3D0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1507"/>
    <w:multiLevelType w:val="hybridMultilevel"/>
    <w:tmpl w:val="D342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170C"/>
    <w:multiLevelType w:val="hybridMultilevel"/>
    <w:tmpl w:val="97E8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006"/>
    <w:multiLevelType w:val="hybridMultilevel"/>
    <w:tmpl w:val="D02A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2C1"/>
    <w:multiLevelType w:val="hybridMultilevel"/>
    <w:tmpl w:val="A0E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D9B"/>
    <w:multiLevelType w:val="hybridMultilevel"/>
    <w:tmpl w:val="3AD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E2B22"/>
    <w:multiLevelType w:val="hybridMultilevel"/>
    <w:tmpl w:val="B644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A"/>
    <w:rsid w:val="0044783A"/>
    <w:rsid w:val="00520B5E"/>
    <w:rsid w:val="00660681"/>
    <w:rsid w:val="00662AC5"/>
    <w:rsid w:val="009B0AF8"/>
    <w:rsid w:val="009E3FB8"/>
    <w:rsid w:val="00A80355"/>
    <w:rsid w:val="00B36730"/>
    <w:rsid w:val="00BA1AB7"/>
    <w:rsid w:val="00BC446B"/>
    <w:rsid w:val="00C16657"/>
    <w:rsid w:val="00E67AF0"/>
    <w:rsid w:val="00F3180F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11A2"/>
  <w15:chartTrackingRefBased/>
  <w15:docId w15:val="{61D46FA0-7DF4-4420-8647-60EBB0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3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83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IzuswwI21xlhgENexILv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cestershire.gov.uk/WCFEducationServices/info/31/early-years-inclus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Stevens, Jo</cp:lastModifiedBy>
  <cp:revision>2</cp:revision>
  <dcterms:created xsi:type="dcterms:W3CDTF">2023-01-04T12:29:00Z</dcterms:created>
  <dcterms:modified xsi:type="dcterms:W3CDTF">2023-01-04T12:29:00Z</dcterms:modified>
</cp:coreProperties>
</file>